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3E62" w14:textId="77777777" w:rsidR="00F96523" w:rsidRDefault="00F96523">
      <w:pPr>
        <w:pStyle w:val="Tekstpodstawowy"/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Majątek Regionalnego Ośrodka Polityki Społecznej w Opolu</w:t>
      </w:r>
    </w:p>
    <w:p w14:paraId="2FA00EFE" w14:textId="77777777" w:rsidR="00F96523" w:rsidRDefault="00F96523">
      <w:pPr>
        <w:pStyle w:val="Tekstpodstawowy"/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- stan na 31 grudnia 2007 roku</w:t>
      </w:r>
    </w:p>
    <w:p w14:paraId="2A6BF480" w14:textId="77777777" w:rsidR="00F96523" w:rsidRDefault="00F96523">
      <w:pPr>
        <w:pStyle w:val="Tekstpodstawowy"/>
        <w:spacing w:line="276" w:lineRule="auto"/>
        <w:jc w:val="center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3"/>
        <w:gridCol w:w="1992"/>
      </w:tblGrid>
      <w:tr w:rsidR="00F96523" w14:paraId="7F1254BC" w14:textId="77777777">
        <w:tc>
          <w:tcPr>
            <w:tcW w:w="80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A8F9E42" w14:textId="77777777" w:rsidR="00F96523" w:rsidRDefault="00F96523">
            <w:pPr>
              <w:pStyle w:val="Zawartotabeli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6EF97" w14:textId="77777777" w:rsidR="00F96523" w:rsidRDefault="00F96523">
            <w:pPr>
              <w:pStyle w:val="Zawartotabeli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96523" w14:paraId="35F74336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7D49AB2D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b/>
              </w:rPr>
            </w:pPr>
            <w:r>
              <w:rPr>
                <w:b/>
              </w:rPr>
              <w:t>I. ŚRODKI TRWAŁE – OGÓŁEM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8D95B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  <w:rPr>
                <w:b/>
              </w:rPr>
            </w:pPr>
            <w:r>
              <w:rPr>
                <w:b/>
              </w:rPr>
              <w:t>459.448,25 zł</w:t>
            </w:r>
          </w:p>
        </w:tc>
      </w:tr>
      <w:tr w:rsidR="00F96523" w14:paraId="5E221D59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69DA4F92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w tym: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B95E3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 </w:t>
            </w:r>
          </w:p>
        </w:tc>
      </w:tr>
      <w:tr w:rsidR="00F96523" w14:paraId="7C1FC96E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5DCCD126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- grunty wraz z prawem wieczystego użytkowania gruntów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07546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25.460,40 zł</w:t>
            </w:r>
          </w:p>
        </w:tc>
      </w:tr>
      <w:tr w:rsidR="00F96523" w14:paraId="139B54CE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6A7F7A58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- budynki i lokale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565B3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237.560,88 zł</w:t>
            </w:r>
          </w:p>
        </w:tc>
      </w:tr>
      <w:tr w:rsidR="00F96523" w14:paraId="50739867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49110EF8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- maszyny, urządzenia i aparaty ogólnego zastosowania, w tym zespoły komputerowe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81969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135.430,06 zł</w:t>
            </w:r>
          </w:p>
        </w:tc>
      </w:tr>
      <w:tr w:rsidR="00F96523" w14:paraId="51CAC04F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7DAA774A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- urządzenia techniczne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F43DA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20.573,54 zł</w:t>
            </w:r>
          </w:p>
        </w:tc>
      </w:tr>
      <w:tr w:rsidR="00F96523" w14:paraId="6E29A4C0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6A4086CA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t>- narzędzia, przyrządy, ruchomości i wyposażenie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FE965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</w:pPr>
            <w:r>
              <w:t>40.423,37 zł</w:t>
            </w:r>
          </w:p>
        </w:tc>
      </w:tr>
      <w:tr w:rsidR="00F96523" w14:paraId="141BFBD9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4EA24A84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rPr>
                <w:b/>
              </w:rPr>
              <w:t xml:space="preserve">II. POZOSTAŁE ŚRODKI TRWAŁE – </w:t>
            </w:r>
            <w:r>
              <w:t>o wartości początkowej nie wyższej od kwoty granicznej określonej w ustawie o podatku dochodowym od osób prawnych tj. 3.500 zł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119207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  <w:rPr>
                <w:b/>
              </w:rPr>
            </w:pPr>
            <w:r>
              <w:rPr>
                <w:b/>
              </w:rPr>
              <w:t>87.432,13 zł</w:t>
            </w:r>
          </w:p>
        </w:tc>
      </w:tr>
      <w:tr w:rsidR="00F96523" w14:paraId="3FE76C8A" w14:textId="77777777">
        <w:tc>
          <w:tcPr>
            <w:tcW w:w="8073" w:type="dxa"/>
            <w:tcBorders>
              <w:left w:val="single" w:sz="8" w:space="0" w:color="808080"/>
              <w:bottom w:val="single" w:sz="8" w:space="0" w:color="808080"/>
            </w:tcBorders>
          </w:tcPr>
          <w:p w14:paraId="10997D7D" w14:textId="77777777" w:rsidR="00F96523" w:rsidRDefault="00F96523">
            <w:pPr>
              <w:pStyle w:val="Zawartotabeli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rPr>
                <w:b/>
              </w:rPr>
              <w:t xml:space="preserve">III. WARTOŚCI NIEMATERIALNE I PRAWNE – </w:t>
            </w:r>
            <w:r>
              <w:t>licencje na programy komputerowe – oprogramowanie użytkowe</w:t>
            </w:r>
          </w:p>
        </w:tc>
        <w:tc>
          <w:tcPr>
            <w:tcW w:w="1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6FED17" w14:textId="77777777" w:rsidR="00F96523" w:rsidRDefault="00F96523">
            <w:pPr>
              <w:pStyle w:val="Zawartotabeli"/>
              <w:pBdr>
                <w:bottom w:val="single" w:sz="8" w:space="1" w:color="000000"/>
                <w:right w:val="single" w:sz="8" w:space="1" w:color="000000"/>
              </w:pBdr>
              <w:jc w:val="right"/>
              <w:rPr>
                <w:b/>
              </w:rPr>
            </w:pPr>
            <w:r>
              <w:rPr>
                <w:b/>
              </w:rPr>
              <w:t>18.106,71 zł</w:t>
            </w:r>
          </w:p>
        </w:tc>
      </w:tr>
    </w:tbl>
    <w:p w14:paraId="2C3BB43D" w14:textId="77777777" w:rsidR="00F96523" w:rsidRDefault="00F96523">
      <w:pPr>
        <w:pStyle w:val="Tekstpodstawowy"/>
        <w:jc w:val="center"/>
      </w:pPr>
      <w:r>
        <w:t> </w:t>
      </w:r>
    </w:p>
    <w:p w14:paraId="097E544A" w14:textId="77777777" w:rsidR="00F96523" w:rsidRDefault="00F96523"/>
    <w:sectPr w:rsidR="00F9652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47"/>
    <w:rsid w:val="00861232"/>
    <w:rsid w:val="00D94347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CE1"/>
  <w15:chartTrackingRefBased/>
  <w15:docId w15:val="{4197379D-20D5-424F-A78D-19D0371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Użytkownik</cp:lastModifiedBy>
  <cp:revision>2</cp:revision>
  <cp:lastPrinted>1601-01-01T00:00:00Z</cp:lastPrinted>
  <dcterms:created xsi:type="dcterms:W3CDTF">2020-06-29T20:17:00Z</dcterms:created>
  <dcterms:modified xsi:type="dcterms:W3CDTF">2020-06-29T20:17:00Z</dcterms:modified>
</cp:coreProperties>
</file>